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0"/>
        <w:rPr>
          <w:rFonts w:ascii="Times New Roman" w:hAnsi="Times New Roman" w:eastAsia="Times New Roman" w:cs="Times New Roman"/>
          <w:b/>
          <w:b/>
          <w:bCs/>
          <w:kern w:val="2"/>
          <w:sz w:val="28"/>
          <w:szCs w:val="28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pl-PL"/>
          <w14:ligatures w14:val="none"/>
        </w:rPr>
        <w:t xml:space="preserve">                              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kern w:val="2"/>
          <w:sz w:val="20"/>
          <w:szCs w:val="20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kern w:val="2"/>
          <w:sz w:val="20"/>
          <w:szCs w:val="20"/>
          <w:lang w:eastAsia="pl-PL"/>
          <w14:ligatures w14:val="none"/>
        </w:rPr>
        <w:t>Załącznik nr 7 do ogłoszenia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0"/>
        <w:rPr>
          <w:rFonts w:ascii="Times New Roman" w:hAnsi="Times New Roman" w:eastAsia="Times New Roman" w:cs="Times New Roman"/>
          <w:b/>
          <w:b/>
          <w:bCs/>
          <w:kern w:val="2"/>
          <w:sz w:val="28"/>
          <w:szCs w:val="28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pl-PL"/>
          <w14:ligatures w14:val="none"/>
        </w:rPr>
        <w:t xml:space="preserve"> 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0"/>
        <w:rPr>
          <w:rFonts w:ascii="Times New Roman" w:hAnsi="Times New Roman" w:eastAsia="Times New Roman" w:cs="Times New Roman"/>
          <w:b/>
          <w:b/>
          <w:bCs/>
          <w:kern w:val="2"/>
          <w:sz w:val="28"/>
          <w:szCs w:val="28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pl-PL"/>
          <w14:ligatures w14:val="none"/>
        </w:rPr>
        <w:t>CENTRUM USŁUG SPOŁECZNYCH W KRYNICY MORSKIEJ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1"/>
        <w:rPr>
          <w:rFonts w:ascii="Times New Roman" w:hAnsi="Times New Roman" w:eastAsia="Times New Roman" w:cs="Times New Roman"/>
          <w:b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6"/>
          <w:szCs w:val="36"/>
          <w:lang w:eastAsia="pl-PL"/>
          <w14:ligatures w14:val="none"/>
        </w:rPr>
        <w:t xml:space="preserve">                           </w:t>
      </w:r>
      <w:r>
        <w:rPr>
          <w:rFonts w:eastAsia="Times New Roman" w:cs="Times New Roman" w:ascii="Times New Roman" w:hAnsi="Times New Roman"/>
          <w:b/>
          <w:bCs/>
          <w:kern w:val="0"/>
          <w:sz w:val="36"/>
          <w:szCs w:val="36"/>
          <w:lang w:eastAsia="pl-PL"/>
          <w14:ligatures w14:val="none"/>
        </w:rPr>
        <w:t>KARTA OCENY OFERTY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7"/>
          <w:szCs w:val="27"/>
          <w:lang w:eastAsia="pl-PL"/>
          <w14:ligatures w14:val="none"/>
        </w:rPr>
        <w:t>w otwartym konkursie ofert na realizację zadania publicznego w zakresie usług społecznych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Numer oferty: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 xml:space="preserve"> 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Nazwa oferenta: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 xml:space="preserve"> 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Nazwa zadania / rodzaj usługi społecznej: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 xml:space="preserve"> 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Data wpływu oferty: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 xml:space="preserve"> 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Imię i nazwisko członka komisji oceniającego ofertę: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 xml:space="preserve"> 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5760720" cy="19050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"/>
                        <wps:cNvSpPr/>
                      </wps:nvSpPr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453.5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1"/>
        <w:rPr>
          <w:rFonts w:ascii="Times New Roman" w:hAnsi="Times New Roman" w:eastAsia="Times New Roman" w:cs="Times New Roman"/>
          <w:b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6"/>
          <w:szCs w:val="36"/>
          <w:lang w:eastAsia="pl-PL"/>
          <w14:ligatures w14:val="none"/>
        </w:rPr>
        <w:t>I. OCENA FORMALNA OFERTY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Instrukcja: przy każdym kryterium zaznaczyć właściwą odpowiedź. W przypadku stwierdzenia braku lub niezgodności należy wpisać uwagi. Skutki niespełnienia kryterium formalnego określa ogłoszenie o konkursie i dokumentacja konkursowa.</w:t>
      </w:r>
    </w:p>
    <w:tbl>
      <w:tblPr>
        <w:tblW w:w="9072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429"/>
        <w:gridCol w:w="6845"/>
        <w:gridCol w:w="582"/>
        <w:gridCol w:w="486"/>
        <w:gridCol w:w="730"/>
      </w:tblGrid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684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Kryterium formalne</w:t>
            </w:r>
          </w:p>
        </w:tc>
        <w:tc>
          <w:tcPr>
            <w:tcW w:w="58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486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NIE</w:t>
            </w:r>
          </w:p>
        </w:tc>
        <w:tc>
          <w:tcPr>
            <w:tcW w:w="73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Uwagi</w:t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684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Podmiot jest uprawniony do złożenia oferty w przyjętym trybie.</w:t>
            </w:r>
          </w:p>
        </w:tc>
        <w:tc>
          <w:tcPr>
            <w:tcW w:w="58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Segoe UI Symbol" w:ascii="Segoe UI Symbol" w:hAnsi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486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Segoe UI Symbol" w:ascii="Segoe UI Symbol" w:hAnsi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73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684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Oferta została złożona w terminie określonym w ogłoszeniu.</w:t>
            </w:r>
          </w:p>
        </w:tc>
        <w:tc>
          <w:tcPr>
            <w:tcW w:w="58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Segoe UI Symbol" w:ascii="Segoe UI Symbol" w:hAnsi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486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Segoe UI Symbol" w:ascii="Segoe UI Symbol" w:hAnsi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73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684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Działalność statutowa lub przedmiot działalności oferenta jest zgodny z zadaniem objętym konkursem.</w:t>
            </w:r>
          </w:p>
        </w:tc>
        <w:tc>
          <w:tcPr>
            <w:tcW w:w="58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Segoe UI Symbol" w:ascii="Segoe UI Symbol" w:hAnsi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486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Segoe UI Symbol" w:ascii="Segoe UI Symbol" w:hAnsi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73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684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Oferta została złożona na wymaganym formularzu.</w:t>
            </w:r>
          </w:p>
        </w:tc>
        <w:tc>
          <w:tcPr>
            <w:tcW w:w="58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Segoe UI Symbol" w:ascii="Segoe UI Symbol" w:hAnsi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486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Segoe UI Symbol" w:ascii="Segoe UI Symbol" w:hAnsi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73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5.</w:t>
            </w:r>
          </w:p>
        </w:tc>
        <w:tc>
          <w:tcPr>
            <w:tcW w:w="684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Oferta została podpisana przez osoby uprawnione do reprezentowania oferenta.</w:t>
            </w:r>
          </w:p>
        </w:tc>
        <w:tc>
          <w:tcPr>
            <w:tcW w:w="58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Segoe UI Symbol" w:ascii="Segoe UI Symbol" w:hAnsi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486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Segoe UI Symbol" w:ascii="Segoe UI Symbol" w:hAnsi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73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6.</w:t>
            </w:r>
          </w:p>
        </w:tc>
        <w:tc>
          <w:tcPr>
            <w:tcW w:w="684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Do oferty dołączono wszystkie wymagane załączniki.</w:t>
            </w:r>
          </w:p>
        </w:tc>
        <w:tc>
          <w:tcPr>
            <w:tcW w:w="58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Segoe UI Symbol" w:ascii="Segoe UI Symbol" w:hAnsi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486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Segoe UI Symbol" w:ascii="Segoe UI Symbol" w:hAnsi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73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7.</w:t>
            </w:r>
          </w:p>
        </w:tc>
        <w:tc>
          <w:tcPr>
            <w:tcW w:w="684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Oferta spełnia pozostałe wymogi określone w ogłoszeniu i dokumentacji konkursowej.</w:t>
            </w:r>
          </w:p>
        </w:tc>
        <w:tc>
          <w:tcPr>
            <w:tcW w:w="58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Segoe UI Symbol" w:ascii="Segoe UI Symbol" w:hAnsi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486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Segoe UI Symbol" w:ascii="Segoe UI Symbol" w:hAnsi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73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</w:tbl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Wynik oceny formalnej: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Segoe UI Symbol" w:ascii="Segoe UI Symbol" w:hAnsi="Segoe UI Symbol"/>
          <w:kern w:val="0"/>
          <w:lang w:eastAsia="pl-PL"/>
          <w14:ligatures w14:val="none"/>
        </w:rPr>
        <w:t>☐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Oferta spełnia wymogi formalne i podlega ocenie merytorycznej.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Segoe UI Symbol" w:ascii="Segoe UI Symbol" w:hAnsi="Segoe UI Symbol"/>
          <w:kern w:val="0"/>
          <w:lang w:eastAsia="pl-PL"/>
          <w14:ligatures w14:val="none"/>
        </w:rPr>
        <w:t>☐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Oferta nie spełnia wymogów formalnych.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Uzasadnienie / stwierdzone braki: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5760720" cy="19050"/>
                <wp:effectExtent l="0" t="0" r="0" b="0"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" name=""/>
                        <wps:cNvSpPr/>
                      </wps:nvSpPr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453.5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1"/>
        <w:rPr>
          <w:rFonts w:ascii="Times New Roman" w:hAnsi="Times New Roman" w:eastAsia="Times New Roman" w:cs="Times New Roman"/>
          <w:b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6"/>
          <w:szCs w:val="36"/>
          <w:lang w:eastAsia="pl-PL"/>
          <w14:ligatures w14:val="none"/>
        </w:rPr>
        <w:t>II. OCENA MERYTORYCZNA OFERTY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 xml:space="preserve">Maksymalna liczba punktów: </w:t>
      </w: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100 pkt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7"/>
          <w:szCs w:val="27"/>
          <w:lang w:eastAsia="pl-PL"/>
          <w14:ligatures w14:val="none"/>
        </w:rPr>
        <w:t>A. Ocena kosztorysu — maksymalnie 50 pkt</w:t>
      </w:r>
    </w:p>
    <w:tbl>
      <w:tblPr>
        <w:tblW w:w="9072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429"/>
        <w:gridCol w:w="4859"/>
        <w:gridCol w:w="2223"/>
        <w:gridCol w:w="1560"/>
      </w:tblGrid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485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Kryterium oceny</w:t>
            </w:r>
          </w:p>
        </w:tc>
        <w:tc>
          <w:tcPr>
            <w:tcW w:w="2223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Maksymalna liczba punktów</w:t>
            </w:r>
          </w:p>
        </w:tc>
        <w:tc>
          <w:tcPr>
            <w:tcW w:w="156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Przyznane punkty</w:t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485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Budżet jest realny w stosunku do zakresu zadania, nie jest zawyżony ani zaniżony.</w:t>
            </w:r>
          </w:p>
        </w:tc>
        <w:tc>
          <w:tcPr>
            <w:tcW w:w="2223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15</w:t>
            </w:r>
          </w:p>
        </w:tc>
        <w:tc>
          <w:tcPr>
            <w:tcW w:w="156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485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Wydatki są niezbędne do realizacji zadania.</w:t>
            </w:r>
          </w:p>
        </w:tc>
        <w:tc>
          <w:tcPr>
            <w:tcW w:w="2223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156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485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Koszty wynikają z opisu zadania i harmonogramu.</w:t>
            </w:r>
          </w:p>
        </w:tc>
        <w:tc>
          <w:tcPr>
            <w:tcW w:w="2223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156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485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Budżet jest czytelny, jasny i rzetelnie oszacowany.</w:t>
            </w:r>
          </w:p>
        </w:tc>
        <w:tc>
          <w:tcPr>
            <w:tcW w:w="2223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15</w:t>
            </w:r>
          </w:p>
        </w:tc>
        <w:tc>
          <w:tcPr>
            <w:tcW w:w="156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pl-PL"/>
                <w14:ligatures w14:val="none"/>
              </w:rPr>
            </w:r>
          </w:p>
        </w:tc>
        <w:tc>
          <w:tcPr>
            <w:tcW w:w="485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Suma punktów za ocenę kosztorysu</w:t>
            </w:r>
          </w:p>
        </w:tc>
        <w:tc>
          <w:tcPr>
            <w:tcW w:w="2223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50</w:t>
            </w:r>
          </w:p>
        </w:tc>
        <w:tc>
          <w:tcPr>
            <w:tcW w:w="156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 xml:space="preserve">……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/ 50</w:t>
            </w:r>
          </w:p>
        </w:tc>
      </w:tr>
    </w:tbl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Uzasadnienie oceny kosztorysu: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7"/>
          <w:szCs w:val="27"/>
          <w:lang w:eastAsia="pl-PL"/>
          <w14:ligatures w14:val="none"/>
        </w:rPr>
        <w:t>B. Doświadczenie oferenta — maksymalnie 25 pkt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 xml:space="preserve">Należy przyznać punkty odpowiednio do okresu doświadczenia oferenta w realizacji usług odpowiadających przedmiotowi konkursu. W tej części stosuje się </w:t>
      </w: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jeden właściwy przedział punktowy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, a nie sumę punktów.</w:t>
      </w:r>
    </w:p>
    <w:tbl>
      <w:tblPr>
        <w:tblW w:w="6633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429"/>
        <w:gridCol w:w="3140"/>
        <w:gridCol w:w="1721"/>
        <w:gridCol w:w="1342"/>
      </w:tblGrid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314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Okres doświadczenia oferenta</w:t>
            </w:r>
          </w:p>
        </w:tc>
        <w:tc>
          <w:tcPr>
            <w:tcW w:w="172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Liczba punktów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Zaznaczenie</w:t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314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Do 2 lat doświadczenia</w:t>
            </w:r>
          </w:p>
        </w:tc>
        <w:tc>
          <w:tcPr>
            <w:tcW w:w="172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Segoe UI Symbol" w:ascii="Segoe UI Symbol" w:hAnsi="Segoe UI Symbol"/>
                <w:kern w:val="0"/>
                <w:lang w:eastAsia="pl-PL"/>
                <w14:ligatures w14:val="none"/>
              </w:rPr>
              <w:t>☐</w:t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314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Powyżej 2 do 4 lat</w:t>
            </w:r>
          </w:p>
        </w:tc>
        <w:tc>
          <w:tcPr>
            <w:tcW w:w="172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15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Segoe UI Symbol" w:ascii="Segoe UI Symbol" w:hAnsi="Segoe UI Symbol"/>
                <w:kern w:val="0"/>
                <w:lang w:eastAsia="pl-PL"/>
                <w14:ligatures w14:val="none"/>
              </w:rPr>
              <w:t>☐</w:t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314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Powyżej 4 do 6 lat</w:t>
            </w:r>
          </w:p>
        </w:tc>
        <w:tc>
          <w:tcPr>
            <w:tcW w:w="172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20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Segoe UI Symbol" w:ascii="Segoe UI Symbol" w:hAnsi="Segoe UI Symbol"/>
                <w:kern w:val="0"/>
                <w:lang w:eastAsia="pl-PL"/>
                <w14:ligatures w14:val="none"/>
              </w:rPr>
              <w:t>☐</w:t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314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Powyżej 6 lat</w:t>
            </w:r>
          </w:p>
        </w:tc>
        <w:tc>
          <w:tcPr>
            <w:tcW w:w="172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25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Segoe UI Symbol" w:ascii="Segoe UI Symbol" w:hAnsi="Segoe UI Symbol"/>
                <w:kern w:val="0"/>
                <w:lang w:eastAsia="pl-PL"/>
                <w14:ligatures w14:val="none"/>
              </w:rPr>
              <w:t>☐</w:t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  <w:tc>
          <w:tcPr>
            <w:tcW w:w="314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Przyznana liczba punktów</w:t>
            </w:r>
          </w:p>
        </w:tc>
        <w:tc>
          <w:tcPr>
            <w:tcW w:w="172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 xml:space="preserve">……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/ 25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</w:tbl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Uzasadnienie oceny doświadczenia oferenta (np. wykaz zrealizowanych usług, okres realizacji, zakres i odbiorcy usług):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7"/>
          <w:szCs w:val="27"/>
          <w:lang w:eastAsia="pl-PL"/>
          <w14:ligatures w14:val="none"/>
        </w:rPr>
        <w:t>C. Kwalifikacje i doświadczenie kadry — maksymalnie 25 pkt</w:t>
      </w:r>
    </w:p>
    <w:tbl>
      <w:tblPr>
        <w:tblW w:w="9072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429"/>
        <w:gridCol w:w="4670"/>
        <w:gridCol w:w="2350"/>
        <w:gridCol w:w="1622"/>
      </w:tblGrid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467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Kryterium oceny</w:t>
            </w:r>
          </w:p>
        </w:tc>
        <w:tc>
          <w:tcPr>
            <w:tcW w:w="235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Maksymalna liczba punktów</w:t>
            </w:r>
          </w:p>
        </w:tc>
        <w:tc>
          <w:tcPr>
            <w:tcW w:w="162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Przyznane punkty</w:t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467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Adekwatność kwalifikacji kadry do zakresu usług.</w:t>
            </w:r>
          </w:p>
        </w:tc>
        <w:tc>
          <w:tcPr>
            <w:tcW w:w="235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162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467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Doświadczenie specjalistów w pracy z grupą docelową.</w:t>
            </w:r>
          </w:p>
        </w:tc>
        <w:tc>
          <w:tcPr>
            <w:tcW w:w="235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162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467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Doświadczenie w realizacji usług środowiskowych i indywidualnych.</w:t>
            </w:r>
          </w:p>
        </w:tc>
        <w:tc>
          <w:tcPr>
            <w:tcW w:w="235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162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467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Zapewnienie ciągłości realizacji usług.</w:t>
            </w:r>
          </w:p>
        </w:tc>
        <w:tc>
          <w:tcPr>
            <w:tcW w:w="235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162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  <w:tr>
        <w:trPr/>
        <w:tc>
          <w:tcPr>
            <w:tcW w:w="4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pl-PL"/>
                <w14:ligatures w14:val="none"/>
              </w:rPr>
            </w:r>
          </w:p>
        </w:tc>
        <w:tc>
          <w:tcPr>
            <w:tcW w:w="467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Suma punktów za kwalifikacje i doświadczenie kadry</w:t>
            </w:r>
          </w:p>
        </w:tc>
        <w:tc>
          <w:tcPr>
            <w:tcW w:w="235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25</w:t>
            </w:r>
          </w:p>
        </w:tc>
        <w:tc>
          <w:tcPr>
            <w:tcW w:w="162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 xml:space="preserve">……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/ 25</w:t>
            </w:r>
          </w:p>
        </w:tc>
      </w:tr>
    </w:tbl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Uzasadnienie oceny kwalifikacji i doświadczenia kadry: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5760720" cy="19050"/>
                <wp:effectExtent l="0" t="0" r="0" b="0"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" name=""/>
                        <wps:cNvSpPr/>
                      </wps:nvSpPr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453.5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1"/>
        <w:rPr>
          <w:rFonts w:ascii="Times New Roman" w:hAnsi="Times New Roman" w:eastAsia="Times New Roman" w:cs="Times New Roman"/>
          <w:b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6"/>
          <w:szCs w:val="36"/>
          <w:lang w:eastAsia="pl-PL"/>
          <w14:ligatures w14:val="none"/>
        </w:rPr>
        <w:t>III. PODSUMOWANIE PUNKTACJI</w:t>
      </w:r>
    </w:p>
    <w:tbl>
      <w:tblPr>
        <w:tblW w:w="8772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3801"/>
        <w:gridCol w:w="3021"/>
        <w:gridCol w:w="1950"/>
      </w:tblGrid>
      <w:tr>
        <w:trPr/>
        <w:tc>
          <w:tcPr>
            <w:tcW w:w="380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Obszar oceny</w:t>
            </w:r>
          </w:p>
        </w:tc>
        <w:tc>
          <w:tcPr>
            <w:tcW w:w="302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Maksymalna liczba punktów</w:t>
            </w:r>
          </w:p>
        </w:tc>
        <w:tc>
          <w:tcPr>
            <w:tcW w:w="195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Przyznane punkty</w:t>
            </w:r>
          </w:p>
        </w:tc>
      </w:tr>
      <w:tr>
        <w:trPr/>
        <w:tc>
          <w:tcPr>
            <w:tcW w:w="380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A. Ocena kosztorysu</w:t>
            </w:r>
          </w:p>
        </w:tc>
        <w:tc>
          <w:tcPr>
            <w:tcW w:w="302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50</w:t>
            </w:r>
          </w:p>
        </w:tc>
        <w:tc>
          <w:tcPr>
            <w:tcW w:w="195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  <w:tr>
        <w:trPr/>
        <w:tc>
          <w:tcPr>
            <w:tcW w:w="380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B. Doświadczenie oferenta</w:t>
            </w:r>
          </w:p>
        </w:tc>
        <w:tc>
          <w:tcPr>
            <w:tcW w:w="302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25</w:t>
            </w:r>
          </w:p>
        </w:tc>
        <w:tc>
          <w:tcPr>
            <w:tcW w:w="195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  <w:tr>
        <w:trPr/>
        <w:tc>
          <w:tcPr>
            <w:tcW w:w="380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C. Kwalifikacje i doświadczenie kadry</w:t>
            </w:r>
          </w:p>
        </w:tc>
        <w:tc>
          <w:tcPr>
            <w:tcW w:w="302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  <w:t>25</w:t>
            </w:r>
          </w:p>
        </w:tc>
        <w:tc>
          <w:tcPr>
            <w:tcW w:w="195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pl-PL"/>
                <w14:ligatures w14:val="none"/>
              </w:rPr>
            </w:r>
          </w:p>
        </w:tc>
      </w:tr>
      <w:tr>
        <w:trPr/>
        <w:tc>
          <w:tcPr>
            <w:tcW w:w="380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ŁĄCZNIE</w:t>
            </w:r>
          </w:p>
        </w:tc>
        <w:tc>
          <w:tcPr>
            <w:tcW w:w="302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100</w:t>
            </w:r>
          </w:p>
        </w:tc>
        <w:tc>
          <w:tcPr>
            <w:tcW w:w="195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 xml:space="preserve">……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pl-PL"/>
                <w14:ligatures w14:val="none"/>
              </w:rPr>
              <w:t>/ 100</w:t>
            </w:r>
          </w:p>
        </w:tc>
      </w:tr>
    </w:tbl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Ocena końcowa oferty: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Segoe UI Symbol" w:ascii="Segoe UI Symbol" w:hAnsi="Segoe UI Symbol"/>
          <w:kern w:val="0"/>
          <w:lang w:eastAsia="pl-PL"/>
          <w14:ligatures w14:val="none"/>
        </w:rPr>
        <w:t>☐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Pozytywna — oferta uzyskała wymaganą liczbę punktów zgodnie z ogłoszeniem konkursowym.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Segoe UI Symbol" w:ascii="Segoe UI Symbol" w:hAnsi="Segoe UI Symbol"/>
          <w:kern w:val="0"/>
          <w:lang w:eastAsia="pl-PL"/>
          <w14:ligatures w14:val="none"/>
        </w:rPr>
        <w:t>☐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Negatywna — oferta nie uzyskała wymaganej liczby punktów zgodnie z ogłoszeniem konkursowym.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Segoe UI Symbol" w:ascii="Segoe UI Symbol" w:hAnsi="Segoe UI Symbol"/>
          <w:kern w:val="0"/>
          <w:lang w:eastAsia="pl-PL"/>
          <w14:ligatures w14:val="none"/>
        </w:rPr>
        <w:t>☐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Oferta nie podlega ocenie merytorycznej z powodu niespełnienia wymogów formalnych.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Uzasadnienie oceny końcowej / dodatkowe uwagi komisji: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Proponowana kwota dotacji (jeżeli dotyczy):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 xml:space="preserve"> 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Uwagi dotyczące kosztorysu lub zakresu rzeczowego zadania: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5760720" cy="19050"/>
                <wp:effectExtent l="0" t="0" r="0" b="0"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" name=""/>
                        <wps:cNvSpPr/>
                      </wps:nvSpPr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453.5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1"/>
        <w:rPr>
          <w:rFonts w:ascii="Times New Roman" w:hAnsi="Times New Roman" w:eastAsia="Times New Roman" w:cs="Times New Roman"/>
          <w:b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6"/>
          <w:szCs w:val="36"/>
          <w:lang w:eastAsia="pl-PL"/>
          <w14:ligatures w14:val="none"/>
        </w:rPr>
        <w:t>IV. PODPISY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Miejscowość i data:</w:t>
      </w: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 xml:space="preserve"> 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Podpis członka komisji oceniającego ofertę: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lang w:eastAsia="pl-PL"/>
          <w14:ligatures w14:val="none"/>
        </w:rPr>
        <w:t>Podpisy pozostałych członków komisji — jeżeli wymagane:</w:t>
      </w:r>
    </w:p>
    <w:p>
      <w:pPr>
        <w:pStyle w:val="Normal"/>
        <w:numPr>
          <w:ilvl w:val="0"/>
          <w:numId w:val="1"/>
        </w:numPr>
        <w:spacing w:lineRule="auto" w:line="240" w:beforeAutospacing="1" w:after="0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</w:t>
      </w:r>
    </w:p>
    <w:p>
      <w:pPr>
        <w:pStyle w:val="Normal"/>
        <w:numPr>
          <w:ilvl w:val="0"/>
          <w:numId w:val="1"/>
        </w:numPr>
        <w:spacing w:lineRule="auto" w:line="240" w:before="0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pl-PL"/>
          <w14:ligatures w14:val="none"/>
        </w:rPr>
        <w:t>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5760720" cy="19050"/>
                <wp:effectExtent l="0" t="0" r="0" b="0"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" name=""/>
                        <wps:cNvSpPr/>
                      </wps:nvSpPr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453.5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i/>
          <w:iCs/>
          <w:kern w:val="0"/>
          <w:lang w:eastAsia="pl-PL"/>
          <w14:ligatures w14:val="none"/>
        </w:rPr>
        <w:t>Uwaga: karta służy do dokumentowania oceny oferty. Ostateczny wynik konkursu i decyzja o przyznaniu dotacji powinny być zgodne z ogłoszeniem konkursowym, zasadami pracy komisji oraz właściwymi przepisami.</w:t>
      </w:r>
    </w:p>
    <w:p>
      <w:pPr>
        <w:pStyle w:val="Normal"/>
        <w:widowControl/>
        <w:bidi w:val="0"/>
        <w:spacing w:lineRule="auto" w:line="276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Segoe UI Symbol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Nagwek1">
    <w:name w:val="Heading 1"/>
    <w:basedOn w:val="Normal"/>
    <w:next w:val="Normal"/>
    <w:link w:val="Nagwek1Znak"/>
    <w:uiPriority w:val="9"/>
    <w:qFormat/>
    <w:rsid w:val="00bf2522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bf2522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Nagwek3">
    <w:name w:val="Heading 3"/>
    <w:basedOn w:val="Normal"/>
    <w:next w:val="Normal"/>
    <w:link w:val="Nagwek3Znak"/>
    <w:uiPriority w:val="9"/>
    <w:semiHidden/>
    <w:unhideWhenUsed/>
    <w:qFormat/>
    <w:rsid w:val="00bf2522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bf2522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bf2522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Nagwek6">
    <w:name w:val="Heading 6"/>
    <w:basedOn w:val="Normal"/>
    <w:next w:val="Normal"/>
    <w:link w:val="Nagwek6Znak"/>
    <w:uiPriority w:val="9"/>
    <w:semiHidden/>
    <w:unhideWhenUsed/>
    <w:qFormat/>
    <w:rsid w:val="00bf2522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bf2522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bf2522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bf2522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bf2522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bf2522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bf2522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bf2522"/>
    <w:rPr>
      <w:rFonts w:eastAsia="" w:cs="" w:cstheme="majorBidi" w:eastAsiaTheme="majorEastAsia"/>
      <w:i/>
      <w:iCs/>
      <w:color w:val="0F4761" w:themeColor="accent1" w:themeShade="bf"/>
    </w:rPr>
  </w:style>
  <w:style w:type="character" w:styleId="Nagwek5Znak" w:customStyle="1">
    <w:name w:val="Nagłówek 5 Znak"/>
    <w:basedOn w:val="DefaultParagraphFont"/>
    <w:uiPriority w:val="9"/>
    <w:semiHidden/>
    <w:qFormat/>
    <w:rsid w:val="00bf2522"/>
    <w:rPr>
      <w:rFonts w:eastAsia="" w:cs="" w:cstheme="majorBidi" w:eastAsiaTheme="majorEastAsia"/>
      <w:color w:val="0F4761" w:themeColor="accent1" w:themeShade="bf"/>
    </w:rPr>
  </w:style>
  <w:style w:type="character" w:styleId="Nagwek6Znak" w:customStyle="1">
    <w:name w:val="Nagłówek 6 Znak"/>
    <w:basedOn w:val="DefaultParagraphFont"/>
    <w:uiPriority w:val="9"/>
    <w:semiHidden/>
    <w:qFormat/>
    <w:rsid w:val="00bf2522"/>
    <w:rPr>
      <w:rFonts w:eastAsia="" w:cs="" w:cstheme="majorBidi" w:eastAsiaTheme="majorEastAsia"/>
      <w:i/>
      <w:iCs/>
      <w:color w:val="595959" w:themeColor="text1" w:themeTint="a6"/>
    </w:rPr>
  </w:style>
  <w:style w:type="character" w:styleId="Nagwek7Znak" w:customStyle="1">
    <w:name w:val="Nagłówek 7 Znak"/>
    <w:basedOn w:val="DefaultParagraphFont"/>
    <w:uiPriority w:val="9"/>
    <w:semiHidden/>
    <w:qFormat/>
    <w:rsid w:val="00bf2522"/>
    <w:rPr>
      <w:rFonts w:eastAsia="" w:cs="" w:cstheme="majorBidi" w:eastAsiaTheme="majorEastAsia"/>
      <w:color w:val="595959" w:themeColor="text1" w:themeTint="a6"/>
    </w:rPr>
  </w:style>
  <w:style w:type="character" w:styleId="Nagwek8Znak" w:customStyle="1">
    <w:name w:val="Nagłówek 8 Znak"/>
    <w:basedOn w:val="DefaultParagraphFont"/>
    <w:uiPriority w:val="9"/>
    <w:semiHidden/>
    <w:qFormat/>
    <w:rsid w:val="00bf2522"/>
    <w:rPr>
      <w:rFonts w:eastAsia="" w:cs="" w:cstheme="majorBidi" w:eastAsiaTheme="majorEastAsia"/>
      <w:i/>
      <w:iCs/>
      <w:color w:val="272727" w:themeColor="text1" w:themeTint="d8"/>
    </w:rPr>
  </w:style>
  <w:style w:type="character" w:styleId="Nagwek9Znak" w:customStyle="1">
    <w:name w:val="Nagłówek 9 Znak"/>
    <w:basedOn w:val="DefaultParagraphFont"/>
    <w:uiPriority w:val="9"/>
    <w:semiHidden/>
    <w:qFormat/>
    <w:rsid w:val="00bf2522"/>
    <w:rPr>
      <w:rFonts w:eastAsia="" w:cs="" w:cstheme="majorBidi" w:eastAsiaTheme="majorEastAsia"/>
      <w:color w:val="272727" w:themeColor="text1" w:themeTint="d8"/>
    </w:rPr>
  </w:style>
  <w:style w:type="character" w:styleId="TytuZnak" w:customStyle="1">
    <w:name w:val="Tytuł Znak"/>
    <w:basedOn w:val="DefaultParagraphFont"/>
    <w:uiPriority w:val="10"/>
    <w:qFormat/>
    <w:rsid w:val="00bf2522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bf2522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bf252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f2522"/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bf25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522"/>
    <w:rPr>
      <w:b/>
      <w:bCs/>
      <w:smallCaps/>
      <w:color w:val="0F4761" w:themeColor="accent1" w:themeShade="bf"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Tytu">
    <w:name w:val="Title"/>
    <w:basedOn w:val="Normal"/>
    <w:next w:val="Normal"/>
    <w:link w:val="TytuZnak"/>
    <w:uiPriority w:val="10"/>
    <w:qFormat/>
    <w:rsid w:val="00bf2522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ytu">
    <w:name w:val="Subtitle"/>
    <w:basedOn w:val="Normal"/>
    <w:next w:val="Normal"/>
    <w:link w:val="PodtytuZnak"/>
    <w:uiPriority w:val="11"/>
    <w:qFormat/>
    <w:rsid w:val="00bf2522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bf2522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522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bf2522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LibreOffice/7.3.4.2$Windows_X86_64 LibreOffice_project/728fec16bd5f605073805c3c9e7c4212a0120dc5</Application>
  <AppVersion>15.0000</AppVersion>
  <Pages>4</Pages>
  <Words>576</Words>
  <Characters>5941</Characters>
  <CharactersWithSpaces>6476</CharactersWithSpaces>
  <Paragraphs>170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2026-10-13T08:01:00Z</dcterms:created>
  <dc:creator>Agnieszka Murawska-Nikołajuk</dc:creator>
  <dc:description/>
  <dc:language>pl-PL</dc:language>
  <cp:lastModifiedBy/>
  <dcterms:modified xsi:type="dcterms:W3CDTF">2026-10-13T23:47:56Z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